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72E78" w14:textId="77777777" w:rsidR="00991B17" w:rsidRPr="00FA0021" w:rsidRDefault="00991B17" w:rsidP="00FA0021">
      <w:pPr>
        <w:spacing w:after="240"/>
        <w:jc w:val="center"/>
      </w:pPr>
      <w:r w:rsidRPr="00FA0021">
        <w:rPr>
          <w:b/>
          <w:noProof/>
        </w:rPr>
        <w:drawing>
          <wp:inline distT="0" distB="0" distL="0" distR="0" wp14:anchorId="0597164B" wp14:editId="103EE163">
            <wp:extent cx="1675173" cy="110490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45" cy="11281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E5F74" w14:textId="77777777" w:rsidR="00991B17" w:rsidRPr="00FA0021" w:rsidRDefault="00991B17" w:rsidP="00FA0021">
      <w:pPr>
        <w:spacing w:after="240"/>
        <w:jc w:val="center"/>
        <w:rPr>
          <w:b/>
        </w:rPr>
      </w:pPr>
      <w:r w:rsidRPr="00FA0021">
        <w:rPr>
          <w:b/>
        </w:rPr>
        <w:t>COMUNICATO STAMPA</w:t>
      </w:r>
    </w:p>
    <w:p w14:paraId="4EA09EEA" w14:textId="77777777" w:rsidR="00015348" w:rsidRDefault="00DD11C1" w:rsidP="00FA0021">
      <w:pPr>
        <w:spacing w:after="240"/>
        <w:jc w:val="center"/>
        <w:rPr>
          <w:rFonts w:eastAsia="Times New Roman"/>
          <w:b/>
        </w:rPr>
      </w:pPr>
      <w:r>
        <w:rPr>
          <w:rFonts w:eastAsia="Times New Roman"/>
          <w:b/>
        </w:rPr>
        <w:t>28 gennaio 2021</w:t>
      </w:r>
    </w:p>
    <w:p w14:paraId="02FD4337" w14:textId="77777777" w:rsidR="003F2F08" w:rsidRDefault="003F2F08" w:rsidP="003F2F08">
      <w:pPr>
        <w:pStyle w:val="NormaleWeb"/>
        <w:shd w:val="clear" w:color="auto" w:fill="FFFFFF"/>
        <w:spacing w:before="0" w:beforeAutospacing="0" w:after="120" w:afterAutospacing="0" w:line="276" w:lineRule="auto"/>
        <w:jc w:val="center"/>
        <w:rPr>
          <w:b/>
          <w:sz w:val="28"/>
        </w:rPr>
      </w:pPr>
      <w:r w:rsidRPr="003F2F08">
        <w:rPr>
          <w:b/>
          <w:sz w:val="28"/>
        </w:rPr>
        <w:t xml:space="preserve">Recepimento della Relazione 2018 della Corte dei Conti </w:t>
      </w:r>
    </w:p>
    <w:p w14:paraId="49083E0A" w14:textId="77777777" w:rsidR="00F7690A" w:rsidRPr="003F2F08" w:rsidRDefault="003F2F08" w:rsidP="003F2F08">
      <w:pPr>
        <w:pStyle w:val="NormaleWeb"/>
        <w:shd w:val="clear" w:color="auto" w:fill="FFFFFF"/>
        <w:spacing w:before="0" w:beforeAutospacing="0" w:after="120" w:afterAutospacing="0" w:line="276" w:lineRule="auto"/>
        <w:jc w:val="center"/>
        <w:rPr>
          <w:b/>
          <w:sz w:val="28"/>
        </w:rPr>
      </w:pPr>
      <w:r w:rsidRPr="003F2F08">
        <w:rPr>
          <w:b/>
          <w:sz w:val="28"/>
        </w:rPr>
        <w:t>e relative prime considerazioni del Centro</w:t>
      </w:r>
    </w:p>
    <w:p w14:paraId="5C40F427" w14:textId="46A79036" w:rsidR="00681BD7" w:rsidRDefault="00681BD7" w:rsidP="00011AB7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 w:rsidRPr="00732CCF">
        <w:t xml:space="preserve">Molteplici sono le questioni affrontate dal management del CIRA nel corso del </w:t>
      </w:r>
      <w:r w:rsidR="00827801">
        <w:t xml:space="preserve">2019 e </w:t>
      </w:r>
      <w:r w:rsidRPr="00732CCF">
        <w:t>2020</w:t>
      </w:r>
      <w:r w:rsidR="00827801">
        <w:t>, ovvero negli esercizi successivi a quello oggetto di ultima relazione della Corte</w:t>
      </w:r>
      <w:r w:rsidRPr="00732CCF">
        <w:t>. I</w:t>
      </w:r>
      <w:r w:rsidR="00827801">
        <w:t>n particolare i</w:t>
      </w:r>
      <w:r w:rsidRPr="00732CCF">
        <w:t xml:space="preserve">l Bilancio </w:t>
      </w:r>
      <w:r w:rsidR="00DD0DCD">
        <w:t>2019</w:t>
      </w:r>
      <w:r w:rsidR="00827801">
        <w:t>,</w:t>
      </w:r>
      <w:r w:rsidR="00DD0DCD">
        <w:t xml:space="preserve"> </w:t>
      </w:r>
      <w:r w:rsidRPr="00732CCF">
        <w:t>approvato in data 3 dicembre 2020</w:t>
      </w:r>
      <w:r w:rsidR="00732CCF">
        <w:t>,</w:t>
      </w:r>
      <w:r w:rsidRPr="00732CCF">
        <w:t xml:space="preserve"> ha rappresentato </w:t>
      </w:r>
      <w:r w:rsidR="00827801">
        <w:t xml:space="preserve">il </w:t>
      </w:r>
      <w:r w:rsidRPr="00732CCF">
        <w:t>chiaro percorso di crescita</w:t>
      </w:r>
      <w:r w:rsidR="00827801">
        <w:t xml:space="preserve"> intercorso</w:t>
      </w:r>
      <w:r w:rsidR="00732CCF">
        <w:t>, sia dal punto di vista scientifico e tecnologico</w:t>
      </w:r>
      <w:r w:rsidR="00827801">
        <w:t>,</w:t>
      </w:r>
      <w:r w:rsidR="00732CCF">
        <w:t xml:space="preserve"> che da quello della </w:t>
      </w:r>
      <w:r w:rsidR="00827801">
        <w:t>prestazione gestionale e finanziaria</w:t>
      </w:r>
      <w:r w:rsidRPr="00732CCF">
        <w:t>. L’esercizio 2019 si è chiuso, infatti, con un utile di 5,2 milioni di euro ed un valore della produzione che si è attestato sui 47 milioni di euro</w:t>
      </w:r>
      <w:r w:rsidR="00827801">
        <w:t>,</w:t>
      </w:r>
      <w:r w:rsidRPr="00732CCF">
        <w:t xml:space="preserve"> con una crescita del 15% rispetto al 2018</w:t>
      </w:r>
      <w:r w:rsidR="00827801">
        <w:t xml:space="preserve">, a cui ha fattivamente contribuito </w:t>
      </w:r>
      <w:r w:rsidRPr="00732CCF">
        <w:t>anche l’incremento dei “ricavi da fonti terze”, generati da contratti di ricerca e servizi di sperimentazione che il CIRA ha acquisito sul mercato mondiale.</w:t>
      </w:r>
    </w:p>
    <w:p w14:paraId="25544D1C" w14:textId="77777777" w:rsidR="00011AB7" w:rsidRPr="00732CCF" w:rsidRDefault="00011AB7" w:rsidP="00011AB7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</w:p>
    <w:p w14:paraId="42E369F0" w14:textId="28E83512" w:rsidR="00681BD7" w:rsidRDefault="00681BD7" w:rsidP="00732CCF">
      <w:pPr>
        <w:spacing w:line="276" w:lineRule="auto"/>
        <w:jc w:val="both"/>
        <w:rPr>
          <w:rFonts w:eastAsia="Calibri"/>
        </w:rPr>
      </w:pPr>
      <w:r w:rsidRPr="00732CCF">
        <w:t xml:space="preserve">Oggi il CIRA è </w:t>
      </w:r>
      <w:r w:rsidR="00732CCF" w:rsidRPr="00732CCF">
        <w:t xml:space="preserve">senza dubbio </w:t>
      </w:r>
      <w:r w:rsidR="00827801">
        <w:t>un primario r</w:t>
      </w:r>
      <w:r w:rsidR="00732CCF" w:rsidRPr="00732CCF">
        <w:t>iferimento del mondo della ricerca</w:t>
      </w:r>
      <w:r w:rsidR="006E6FF8">
        <w:t xml:space="preserve"> nazionale </w:t>
      </w:r>
      <w:r w:rsidR="00732CCF" w:rsidRPr="00732CCF">
        <w:t>in campo aerospaziale</w:t>
      </w:r>
      <w:r w:rsidR="00827801">
        <w:t>, proiettato ad avere</w:t>
      </w:r>
      <w:r w:rsidR="00732CCF" w:rsidRPr="00732CCF">
        <w:t xml:space="preserve"> un </w:t>
      </w:r>
      <w:r w:rsidR="00732CCF" w:rsidRPr="00732CCF">
        <w:rPr>
          <w:rFonts w:eastAsia="Calibri"/>
        </w:rPr>
        <w:t xml:space="preserve">Valore della Produzione </w:t>
      </w:r>
      <w:r w:rsidR="006E6FF8">
        <w:rPr>
          <w:rFonts w:eastAsia="Calibri"/>
        </w:rPr>
        <w:t xml:space="preserve">stabilmente </w:t>
      </w:r>
      <w:r w:rsidR="00827801">
        <w:rPr>
          <w:rFonts w:eastAsia="Calibri"/>
        </w:rPr>
        <w:t>superiore a</w:t>
      </w:r>
      <w:r w:rsidR="00732CCF" w:rsidRPr="00732CCF">
        <w:rPr>
          <w:rFonts w:eastAsia="Calibri"/>
        </w:rPr>
        <w:t>i 50</w:t>
      </w:r>
      <w:r w:rsidR="00011AB7">
        <w:rPr>
          <w:rFonts w:eastAsia="Calibri"/>
        </w:rPr>
        <w:t xml:space="preserve">milioni di euro </w:t>
      </w:r>
      <w:r w:rsidR="00732CCF" w:rsidRPr="00011AB7">
        <w:rPr>
          <w:rFonts w:eastAsia="Calibri"/>
        </w:rPr>
        <w:t>annui</w:t>
      </w:r>
      <w:r w:rsidR="006E6FF8" w:rsidRPr="00011AB7">
        <w:rPr>
          <w:rFonts w:eastAsia="Calibri"/>
        </w:rPr>
        <w:t>. Questo</w:t>
      </w:r>
      <w:r w:rsidR="00732CCF" w:rsidRPr="00011AB7">
        <w:rPr>
          <w:rFonts w:eastAsia="Calibri"/>
        </w:rPr>
        <w:t xml:space="preserve"> </w:t>
      </w:r>
      <w:r w:rsidR="006E6FF8" w:rsidRPr="00011AB7">
        <w:rPr>
          <w:rFonts w:eastAsia="Calibri"/>
        </w:rPr>
        <w:t>da</w:t>
      </w:r>
      <w:r w:rsidR="006E6FF8">
        <w:rPr>
          <w:rFonts w:eastAsia="Calibri"/>
        </w:rPr>
        <w:t xml:space="preserve"> un lato per effetto di rinnovati finanziamenti pubblici a sostegno del Programma Nazionale di Ricerche Aerospaziali (PRORA) e </w:t>
      </w:r>
      <w:r w:rsidR="00827801">
        <w:rPr>
          <w:rFonts w:eastAsia="Calibri"/>
        </w:rPr>
        <w:t xml:space="preserve">complementari fondi </w:t>
      </w:r>
      <w:r w:rsidR="006E6FF8">
        <w:rPr>
          <w:rFonts w:eastAsia="Calibri"/>
        </w:rPr>
        <w:t>provenienti dal Fondo Enti di Ricerca, dall’altro per merito della competitività della propria offerta sui mercati nazionale e internazionale (si noti che nel 2019 i ricavi da fonti terze sono cresciuti del 25% rispetto al 2018</w:t>
      </w:r>
      <w:r w:rsidR="00827801">
        <w:rPr>
          <w:rFonts w:eastAsia="Calibri"/>
        </w:rPr>
        <w:t>,</w:t>
      </w:r>
      <w:r w:rsidR="006E6FF8">
        <w:rPr>
          <w:rFonts w:eastAsia="Calibri"/>
        </w:rPr>
        <w:t xml:space="preserve"> attestandosi al 30% dei ricavi totali). </w:t>
      </w:r>
      <w:r w:rsidR="00827801">
        <w:rPr>
          <w:rFonts w:eastAsia="Calibri"/>
        </w:rPr>
        <w:t xml:space="preserve">Queste </w:t>
      </w:r>
      <w:r w:rsidR="00827801" w:rsidRPr="004426A8">
        <w:rPr>
          <w:rFonts w:eastAsia="Calibri"/>
        </w:rPr>
        <w:t xml:space="preserve">risorse </w:t>
      </w:r>
      <w:r w:rsidR="004F2E6E" w:rsidRPr="001E43D1">
        <w:rPr>
          <w:rFonts w:eastAsia="Calibri"/>
        </w:rPr>
        <w:t>permett</w:t>
      </w:r>
      <w:r w:rsidR="00827801" w:rsidRPr="001E43D1">
        <w:rPr>
          <w:rFonts w:eastAsia="Calibri"/>
        </w:rPr>
        <w:t xml:space="preserve">ono peraltro </w:t>
      </w:r>
      <w:r w:rsidR="004F2E6E" w:rsidRPr="001E43D1">
        <w:rPr>
          <w:rFonts w:eastAsia="Calibri"/>
        </w:rPr>
        <w:t>al CIRA di continuare ad investire sia nella ricerca</w:t>
      </w:r>
      <w:r w:rsidR="00827801" w:rsidRPr="001E43D1">
        <w:rPr>
          <w:rFonts w:eastAsia="Calibri"/>
        </w:rPr>
        <w:t xml:space="preserve">, intesa come </w:t>
      </w:r>
      <w:r w:rsidR="004F2E6E" w:rsidRPr="001E43D1">
        <w:rPr>
          <w:rFonts w:eastAsia="Calibri"/>
        </w:rPr>
        <w:t xml:space="preserve">ampliamento delle conoscenze, </w:t>
      </w:r>
      <w:r w:rsidR="00827801" w:rsidRPr="001E43D1">
        <w:rPr>
          <w:rFonts w:eastAsia="Calibri"/>
        </w:rPr>
        <w:t xml:space="preserve">che </w:t>
      </w:r>
      <w:r w:rsidR="00CF3DFA" w:rsidRPr="001E43D1">
        <w:rPr>
          <w:rFonts w:eastAsia="Calibri"/>
        </w:rPr>
        <w:t>nell’acquisizione di</w:t>
      </w:r>
      <w:r w:rsidR="004F2E6E" w:rsidRPr="001E43D1">
        <w:rPr>
          <w:rFonts w:eastAsia="Calibri"/>
        </w:rPr>
        <w:t xml:space="preserve"> nuovi contratti </w:t>
      </w:r>
      <w:r w:rsidR="00827801" w:rsidRPr="001E43D1">
        <w:rPr>
          <w:rFonts w:eastAsia="Calibri"/>
        </w:rPr>
        <w:t xml:space="preserve">nei bandi </w:t>
      </w:r>
      <w:r w:rsidR="004F2E6E" w:rsidRPr="001E43D1">
        <w:rPr>
          <w:rFonts w:eastAsia="Calibri"/>
        </w:rPr>
        <w:t xml:space="preserve">di ricerca finanziata o cofinanziata </w:t>
      </w:r>
      <w:r w:rsidR="00827801" w:rsidRPr="001E43D1">
        <w:rPr>
          <w:rFonts w:eastAsia="Calibri"/>
        </w:rPr>
        <w:t xml:space="preserve">come pure nei servizi di ingegneria e prove, </w:t>
      </w:r>
      <w:r w:rsidR="004F2E6E" w:rsidRPr="001E43D1">
        <w:rPr>
          <w:rFonts w:eastAsia="Calibri"/>
        </w:rPr>
        <w:t xml:space="preserve">con un effetto moltiplicatore </w:t>
      </w:r>
      <w:r w:rsidR="00827801" w:rsidRPr="001E43D1">
        <w:rPr>
          <w:rFonts w:eastAsia="Calibri"/>
        </w:rPr>
        <w:t xml:space="preserve">della dotazione pubblica </w:t>
      </w:r>
      <w:r w:rsidR="004F2E6E" w:rsidRPr="001E43D1">
        <w:rPr>
          <w:rFonts w:eastAsia="Calibri"/>
        </w:rPr>
        <w:t>sui ricavi</w:t>
      </w:r>
      <w:r w:rsidR="00827801">
        <w:rPr>
          <w:rFonts w:eastAsia="Calibri"/>
        </w:rPr>
        <w:t xml:space="preserve"> totali risultanti.</w:t>
      </w:r>
    </w:p>
    <w:p w14:paraId="2963FA00" w14:textId="77777777" w:rsidR="004426A8" w:rsidRDefault="004426A8" w:rsidP="00732CCF">
      <w:pPr>
        <w:spacing w:line="276" w:lineRule="auto"/>
        <w:jc w:val="both"/>
      </w:pPr>
    </w:p>
    <w:p w14:paraId="7B7A955B" w14:textId="202ABB53" w:rsidR="00732CCF" w:rsidRDefault="00732CCF" w:rsidP="00732CCF">
      <w:pPr>
        <w:spacing w:line="276" w:lineRule="auto"/>
        <w:jc w:val="both"/>
        <w:rPr>
          <w:rFonts w:eastAsia="Calibri"/>
        </w:rPr>
      </w:pPr>
      <w:r>
        <w:t>Dal punto di vista</w:t>
      </w:r>
      <w:r w:rsidRPr="00965A71">
        <w:rPr>
          <w:noProof/>
        </w:rPr>
        <w:t xml:space="preserve"> tecnologic</w:t>
      </w:r>
      <w:r>
        <w:rPr>
          <w:noProof/>
        </w:rPr>
        <w:t>o</w:t>
      </w:r>
      <w:r w:rsidRPr="00965A71">
        <w:rPr>
          <w:noProof/>
        </w:rPr>
        <w:t xml:space="preserve">, </w:t>
      </w:r>
      <w:r>
        <w:rPr>
          <w:noProof/>
        </w:rPr>
        <w:t xml:space="preserve">la nuova offerta </w:t>
      </w:r>
      <w:r w:rsidRPr="00965A71">
        <w:rPr>
          <w:noProof/>
        </w:rPr>
        <w:t>scientific</w:t>
      </w:r>
      <w:r>
        <w:rPr>
          <w:noProof/>
        </w:rPr>
        <w:t>a</w:t>
      </w:r>
      <w:r w:rsidRPr="00965A71">
        <w:rPr>
          <w:noProof/>
        </w:rPr>
        <w:t xml:space="preserve"> riguarderà importanti sviluppi </w:t>
      </w:r>
      <w:r w:rsidR="00DD0DCD">
        <w:rPr>
          <w:noProof/>
        </w:rPr>
        <w:t xml:space="preserve">connessi alle principali evoluzioni dello scenario mondiale in campo aeronautico e spaziale: </w:t>
      </w:r>
      <w:r w:rsidRPr="00965A71">
        <w:rPr>
          <w:noProof/>
        </w:rPr>
        <w:t>d</w:t>
      </w:r>
      <w:r w:rsidR="00DD0DCD">
        <w:rPr>
          <w:noProof/>
        </w:rPr>
        <w:t>a</w:t>
      </w:r>
      <w:r w:rsidRPr="00965A71">
        <w:rPr>
          <w:noProof/>
        </w:rPr>
        <w:t>l t</w:t>
      </w:r>
      <w:proofErr w:type="spellStart"/>
      <w:r w:rsidRPr="00965A71">
        <w:t>rasporto</w:t>
      </w:r>
      <w:proofErr w:type="spellEnd"/>
      <w:r w:rsidRPr="00965A71">
        <w:t xml:space="preserve"> aereo sostenibile, resiliente e sicuro </w:t>
      </w:r>
      <w:proofErr w:type="spellStart"/>
      <w:r w:rsidR="00DD0DCD">
        <w:t>a</w:t>
      </w:r>
      <w:r w:rsidRPr="00965A71">
        <w:t>ll’advanced</w:t>
      </w:r>
      <w:proofErr w:type="spellEnd"/>
      <w:r w:rsidRPr="00965A71">
        <w:t xml:space="preserve"> air </w:t>
      </w:r>
      <w:proofErr w:type="spellStart"/>
      <w:r w:rsidRPr="00965A71">
        <w:t>mobility</w:t>
      </w:r>
      <w:proofErr w:type="spellEnd"/>
      <w:r w:rsidRPr="00965A71">
        <w:t xml:space="preserve"> con velivoli autonomi e/o pilotati da remoto, d</w:t>
      </w:r>
      <w:r w:rsidR="00DD0DCD">
        <w:t>a</w:t>
      </w:r>
      <w:r w:rsidRPr="00965A71">
        <w:t xml:space="preserve">ll’accesso allo spazio all’esplorazione spaziale, </w:t>
      </w:r>
      <w:r w:rsidR="005D3F72">
        <w:t>d</w:t>
      </w:r>
      <w:r w:rsidR="00DD0DCD">
        <w:t>a</w:t>
      </w:r>
      <w:r w:rsidRPr="00965A71">
        <w:t xml:space="preserve">ll’osservazione della Terra </w:t>
      </w:r>
      <w:r w:rsidR="00DD0DCD">
        <w:t>a</w:t>
      </w:r>
      <w:r w:rsidRPr="00965A71">
        <w:t>l volo suborbitale e stratosferico. Sviluppi</w:t>
      </w:r>
      <w:r w:rsidR="005D3F72">
        <w:t xml:space="preserve"> tutti</w:t>
      </w:r>
      <w:r w:rsidR="00DD0DCD">
        <w:t xml:space="preserve"> condivisi con i principali stakeholder nazionali, </w:t>
      </w:r>
      <w:r w:rsidR="00FD48B3">
        <w:t xml:space="preserve">e </w:t>
      </w:r>
      <w:r w:rsidRPr="00965A71">
        <w:t xml:space="preserve">che </w:t>
      </w:r>
      <w:r w:rsidR="00DD0DCD">
        <w:t>saranno</w:t>
      </w:r>
      <w:r>
        <w:t xml:space="preserve"> </w:t>
      </w:r>
      <w:r w:rsidR="00FD48B3">
        <w:t>co</w:t>
      </w:r>
      <w:r>
        <w:t>finanzia</w:t>
      </w:r>
      <w:r w:rsidR="00DD0DCD">
        <w:t>ti</w:t>
      </w:r>
      <w:r>
        <w:t xml:space="preserve"> </w:t>
      </w:r>
      <w:r w:rsidR="00FD48B3" w:rsidRPr="00011AB7">
        <w:t xml:space="preserve">dal CIRA </w:t>
      </w:r>
      <w:r w:rsidRPr="00011AB7">
        <w:t xml:space="preserve">anche con </w:t>
      </w:r>
      <w:r w:rsidRPr="00011AB7">
        <w:rPr>
          <w:rFonts w:eastAsia="Calibri"/>
        </w:rPr>
        <w:t xml:space="preserve">80 milioni </w:t>
      </w:r>
      <w:r w:rsidR="00FD48B3" w:rsidRPr="00011AB7">
        <w:rPr>
          <w:rFonts w:eastAsia="Calibri"/>
        </w:rPr>
        <w:t xml:space="preserve">di euro </w:t>
      </w:r>
      <w:r w:rsidR="00DD0DCD" w:rsidRPr="00011AB7">
        <w:rPr>
          <w:rFonts w:eastAsia="Calibri"/>
        </w:rPr>
        <w:t>provenienti</w:t>
      </w:r>
      <w:r w:rsidR="00DD0DCD">
        <w:rPr>
          <w:rFonts w:eastAsia="Calibri"/>
        </w:rPr>
        <w:t xml:space="preserve"> </w:t>
      </w:r>
      <w:r w:rsidRPr="00965A71">
        <w:rPr>
          <w:rFonts w:eastAsia="Calibri"/>
        </w:rPr>
        <w:t>d</w:t>
      </w:r>
      <w:r w:rsidR="00DD0DCD">
        <w:rPr>
          <w:rFonts w:eastAsia="Calibri"/>
        </w:rPr>
        <w:t>a</w:t>
      </w:r>
      <w:r w:rsidRPr="00965A71">
        <w:rPr>
          <w:rFonts w:eastAsia="Calibri"/>
        </w:rPr>
        <w:t xml:space="preserve">l </w:t>
      </w:r>
      <w:r w:rsidR="00FD48B3">
        <w:rPr>
          <w:rFonts w:eastAsia="Calibri"/>
        </w:rPr>
        <w:t xml:space="preserve">cosiddetto </w:t>
      </w:r>
      <w:r w:rsidR="00DD0DCD">
        <w:rPr>
          <w:rFonts w:eastAsia="Calibri"/>
        </w:rPr>
        <w:t>F</w:t>
      </w:r>
      <w:r w:rsidRPr="00965A71">
        <w:rPr>
          <w:rFonts w:eastAsia="Calibri"/>
        </w:rPr>
        <w:t xml:space="preserve">ondo </w:t>
      </w:r>
      <w:r w:rsidR="00DD0DCD">
        <w:rPr>
          <w:rFonts w:eastAsia="Calibri"/>
        </w:rPr>
        <w:t xml:space="preserve">237/93 </w:t>
      </w:r>
      <w:r w:rsidRPr="00965A71">
        <w:rPr>
          <w:rFonts w:eastAsia="Calibri"/>
        </w:rPr>
        <w:t xml:space="preserve">costituito dagli utili </w:t>
      </w:r>
      <w:r>
        <w:rPr>
          <w:rFonts w:eastAsia="Calibri"/>
        </w:rPr>
        <w:t xml:space="preserve">progressivamente </w:t>
      </w:r>
      <w:r w:rsidRPr="00965A71">
        <w:rPr>
          <w:rFonts w:eastAsia="Calibri"/>
        </w:rPr>
        <w:t>accantonat</w:t>
      </w:r>
      <w:r w:rsidR="00FD48B3">
        <w:rPr>
          <w:rFonts w:eastAsia="Calibri"/>
        </w:rPr>
        <w:t>i</w:t>
      </w:r>
      <w:r w:rsidR="00B21C98">
        <w:rPr>
          <w:rFonts w:eastAsia="Calibri"/>
        </w:rPr>
        <w:t xml:space="preserve"> dal Centro</w:t>
      </w:r>
      <w:r w:rsidR="005D3F72">
        <w:rPr>
          <w:rFonts w:eastAsia="Calibri"/>
        </w:rPr>
        <w:t xml:space="preserve">, </w:t>
      </w:r>
      <w:r w:rsidR="00B21C98">
        <w:rPr>
          <w:rFonts w:eastAsia="Calibri"/>
        </w:rPr>
        <w:t>conformemente alla recente autorizzazione di MEF e MUR.</w:t>
      </w:r>
    </w:p>
    <w:p w14:paraId="28C0CF94" w14:textId="77777777" w:rsidR="004F2E6E" w:rsidRPr="00965A71" w:rsidRDefault="004F2E6E" w:rsidP="00732CCF">
      <w:pPr>
        <w:spacing w:line="276" w:lineRule="auto"/>
        <w:jc w:val="both"/>
        <w:rPr>
          <w:rFonts w:eastAsia="Calibri"/>
        </w:rPr>
      </w:pPr>
    </w:p>
    <w:p w14:paraId="07E81CA3" w14:textId="226126A3" w:rsidR="00FD48B3" w:rsidRDefault="00FD48B3" w:rsidP="00FD48B3">
      <w:pPr>
        <w:spacing w:line="276" w:lineRule="auto"/>
        <w:jc w:val="both"/>
      </w:pPr>
      <w:r w:rsidRPr="00FD48B3">
        <w:t xml:space="preserve">Gli esercizi 2019 e 2020 sono stati occasione per affrontare tutti i punti sensibili posti in evidenza dalla </w:t>
      </w:r>
      <w:r w:rsidR="00EC431F">
        <w:t xml:space="preserve">relazione della </w:t>
      </w:r>
      <w:r w:rsidRPr="00FD48B3">
        <w:t>Corte dei Conti</w:t>
      </w:r>
      <w:r w:rsidR="00EC431F">
        <w:t xml:space="preserve"> sul 2018</w:t>
      </w:r>
      <w:r>
        <w:t>; ad oggi</w:t>
      </w:r>
      <w:r w:rsidRPr="00FD48B3">
        <w:t xml:space="preserve"> </w:t>
      </w:r>
      <w:r>
        <w:t xml:space="preserve">diversi </w:t>
      </w:r>
      <w:r w:rsidR="00EC431F">
        <w:t xml:space="preserve">di essi sono </w:t>
      </w:r>
      <w:r w:rsidRPr="00FD48B3">
        <w:t>già giunti a risoluzione, altri tuttora in via di risoluzione e/o evoluzione al variare del contesto di riferimento.</w:t>
      </w:r>
      <w:r>
        <w:t xml:space="preserve"> </w:t>
      </w:r>
    </w:p>
    <w:p w14:paraId="6E9F51B5" w14:textId="77777777" w:rsidR="00EC431F" w:rsidRDefault="00EC431F" w:rsidP="00FD48B3">
      <w:pPr>
        <w:spacing w:line="276" w:lineRule="auto"/>
        <w:jc w:val="both"/>
        <w:rPr>
          <w:rFonts w:eastAsia="Calibri"/>
        </w:rPr>
      </w:pPr>
    </w:p>
    <w:p w14:paraId="710E8B4E" w14:textId="7ED13712" w:rsidR="00FD48B3" w:rsidRDefault="00FD48B3" w:rsidP="00FD48B3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E’ il caso ad esempio dei costi del personale </w:t>
      </w:r>
      <w:r w:rsidR="00A20EE3">
        <w:rPr>
          <w:rFonts w:eastAsia="Calibri"/>
        </w:rPr>
        <w:t xml:space="preserve">che, a valle di una contrazione continua nel 2019 e 2020 del numero di ricercatori, sono finalmente destinati a crescere – attraverso l’inserimento </w:t>
      </w:r>
      <w:r w:rsidR="000B4D87">
        <w:rPr>
          <w:rFonts w:eastAsia="Calibri"/>
        </w:rPr>
        <w:t xml:space="preserve">sostenibile </w:t>
      </w:r>
      <w:r w:rsidR="00A20EE3">
        <w:rPr>
          <w:rFonts w:eastAsia="Calibri"/>
        </w:rPr>
        <w:t xml:space="preserve">di </w:t>
      </w:r>
      <w:r w:rsidR="00A20EE3" w:rsidRPr="00965A71">
        <w:rPr>
          <w:rFonts w:eastAsia="Calibri"/>
        </w:rPr>
        <w:t xml:space="preserve">giovani ricercatori </w:t>
      </w:r>
      <w:r w:rsidR="00EC431F" w:rsidRPr="00011AB7">
        <w:rPr>
          <w:rFonts w:eastAsia="Calibri"/>
        </w:rPr>
        <w:t xml:space="preserve">provenienti </w:t>
      </w:r>
      <w:r w:rsidR="00A20EE3" w:rsidRPr="00011AB7">
        <w:rPr>
          <w:rFonts w:eastAsia="Calibri"/>
        </w:rPr>
        <w:t xml:space="preserve">dall’Italia e </w:t>
      </w:r>
      <w:r w:rsidR="00EE3C21" w:rsidRPr="00011AB7">
        <w:rPr>
          <w:rFonts w:eastAsia="Calibri"/>
        </w:rPr>
        <w:t xml:space="preserve">anche </w:t>
      </w:r>
      <w:r w:rsidR="00A20EE3" w:rsidRPr="00011AB7">
        <w:rPr>
          <w:rFonts w:eastAsia="Calibri"/>
        </w:rPr>
        <w:t>dall’estero</w:t>
      </w:r>
      <w:r w:rsidR="000B4D87" w:rsidRPr="00011AB7">
        <w:rPr>
          <w:rFonts w:eastAsia="Calibri"/>
        </w:rPr>
        <w:t>, e comunque</w:t>
      </w:r>
      <w:r w:rsidR="000B4D87" w:rsidRPr="00011AB7">
        <w:t xml:space="preserve"> </w:t>
      </w:r>
      <w:r w:rsidR="000B4D87" w:rsidRPr="00011AB7">
        <w:rPr>
          <w:rFonts w:eastAsia="Calibri"/>
        </w:rPr>
        <w:t>entro i limiti imposti dall’ente controllante</w:t>
      </w:r>
      <w:r w:rsidR="00A20EE3" w:rsidRPr="00011AB7">
        <w:rPr>
          <w:rFonts w:eastAsia="Calibri"/>
        </w:rPr>
        <w:t xml:space="preserve"> </w:t>
      </w:r>
      <w:r w:rsidR="00EC431F" w:rsidRPr="00011AB7">
        <w:rPr>
          <w:rFonts w:eastAsia="Calibri"/>
        </w:rPr>
        <w:t>–</w:t>
      </w:r>
      <w:r w:rsidR="00A20EE3" w:rsidRPr="00011AB7">
        <w:rPr>
          <w:rFonts w:eastAsia="Calibri"/>
        </w:rPr>
        <w:t xml:space="preserve"> </w:t>
      </w:r>
      <w:r w:rsidR="00EC431F" w:rsidRPr="00011AB7">
        <w:rPr>
          <w:rFonts w:eastAsia="Calibri"/>
        </w:rPr>
        <w:t>i</w:t>
      </w:r>
      <w:r w:rsidR="00EC431F">
        <w:rPr>
          <w:rFonts w:eastAsia="Calibri"/>
        </w:rPr>
        <w:t xml:space="preserve">n piena coerenza </w:t>
      </w:r>
      <w:r w:rsidR="00A20EE3">
        <w:rPr>
          <w:rFonts w:eastAsia="Calibri"/>
        </w:rPr>
        <w:t xml:space="preserve">con i più ampi </w:t>
      </w:r>
      <w:r w:rsidR="00EC431F">
        <w:rPr>
          <w:rFonts w:eastAsia="Calibri"/>
        </w:rPr>
        <w:t xml:space="preserve">e sfidanti </w:t>
      </w:r>
      <w:r w:rsidR="00A20EE3">
        <w:rPr>
          <w:rFonts w:eastAsia="Calibri"/>
        </w:rPr>
        <w:t xml:space="preserve">contenuti propri del nuovo PRORA e del relativo mandato istituzionale, nonché </w:t>
      </w:r>
      <w:r w:rsidR="00EC431F">
        <w:rPr>
          <w:rFonts w:eastAsia="Calibri"/>
        </w:rPr>
        <w:t>con il</w:t>
      </w:r>
      <w:r w:rsidR="00A20EE3">
        <w:rPr>
          <w:rFonts w:eastAsia="Calibri"/>
        </w:rPr>
        <w:t xml:space="preserve"> costantemente crescente numero di progetti acquisiti sul mercato competitivo, in particolar modo internazionale. </w:t>
      </w:r>
    </w:p>
    <w:p w14:paraId="56032798" w14:textId="77777777" w:rsidR="00EC431F" w:rsidRDefault="00EC431F" w:rsidP="00FD48B3">
      <w:pPr>
        <w:spacing w:line="276" w:lineRule="auto"/>
        <w:jc w:val="both"/>
        <w:rPr>
          <w:rFonts w:eastAsia="Calibri"/>
        </w:rPr>
      </w:pPr>
    </w:p>
    <w:p w14:paraId="5212E096" w14:textId="77777777" w:rsidR="00EC431F" w:rsidRDefault="00BF348A" w:rsidP="00F7690A">
      <w:pPr>
        <w:spacing w:line="276" w:lineRule="auto"/>
        <w:jc w:val="both"/>
      </w:pPr>
      <w:r>
        <w:rPr>
          <w:rFonts w:eastAsia="Calibri"/>
        </w:rPr>
        <w:t xml:space="preserve">E’ doveroso precisare </w:t>
      </w:r>
      <w:r w:rsidRPr="00F7690A">
        <w:t xml:space="preserve">che l’ammontare </w:t>
      </w:r>
      <w:r w:rsidR="00EC431F">
        <w:t xml:space="preserve">corrispondente alla voce </w:t>
      </w:r>
      <w:r w:rsidRPr="00F7690A">
        <w:t>“premi ai dipendenti” non si riferisce a premialità discrezionale concessa su base individuale, ma a</w:t>
      </w:r>
      <w:r w:rsidR="00EC431F">
        <w:t>d</w:t>
      </w:r>
      <w:r w:rsidRPr="00F7690A">
        <w:t xml:space="preserve"> una componente variabile della retribuzione prevista dal Contratto Collettivo Nazionale di Lavoro. Di conseguenza il cosiddetto Premio di Risultato (così come denominato dalla contrattazione nazionale) è correlato al raggiungimento di obiettivi aziendali oggetto di concertazione tra azienda e rappresentanza sindacale con conseguente applicabilità alla totalità dei dipendenti quale obbligo contrattuale</w:t>
      </w:r>
      <w:r w:rsidR="00EC431F">
        <w:t>, e non scelta discrezionale della Società</w:t>
      </w:r>
      <w:r w:rsidRPr="00F7690A">
        <w:t>.</w:t>
      </w:r>
      <w:r w:rsidR="00EC431F">
        <w:t xml:space="preserve"> </w:t>
      </w:r>
      <w:r>
        <w:t>Peraltro i</w:t>
      </w:r>
      <w:r w:rsidRPr="00500FBF">
        <w:t xml:space="preserve"> livelli di retribuzione media annua dei lavoratori del CIRA sono </w:t>
      </w:r>
      <w:r>
        <w:t xml:space="preserve">oggettivamente </w:t>
      </w:r>
      <w:r w:rsidRPr="00500FBF">
        <w:t xml:space="preserve">inferiori a quelli dei ricercatori di altri centri </w:t>
      </w:r>
      <w:r>
        <w:t xml:space="preserve">ed enti </w:t>
      </w:r>
      <w:r w:rsidRPr="00500FBF">
        <w:t>di ricerca</w:t>
      </w:r>
      <w:r>
        <w:t xml:space="preserve"> nazionali</w:t>
      </w:r>
      <w:r w:rsidR="004D622C">
        <w:t xml:space="preserve">. </w:t>
      </w:r>
    </w:p>
    <w:p w14:paraId="393EC9B0" w14:textId="77777777" w:rsidR="00EC431F" w:rsidRDefault="00EC431F" w:rsidP="00F7690A">
      <w:pPr>
        <w:spacing w:line="276" w:lineRule="auto"/>
        <w:jc w:val="both"/>
      </w:pPr>
    </w:p>
    <w:p w14:paraId="38CC2DB2" w14:textId="0D5C7B18" w:rsidR="004D622C" w:rsidRDefault="00EC431F" w:rsidP="00F7690A">
      <w:pPr>
        <w:spacing w:line="276" w:lineRule="auto"/>
        <w:jc w:val="both"/>
      </w:pPr>
      <w:r>
        <w:t xml:space="preserve">A beneficio di un’informazione </w:t>
      </w:r>
      <w:r w:rsidR="00A113B9">
        <w:t xml:space="preserve">articolata anche per i non addetti ai lavori e puramente </w:t>
      </w:r>
      <w:r>
        <w:t xml:space="preserve">fattuale, va sottolineato </w:t>
      </w:r>
      <w:r w:rsidR="00A113B9">
        <w:t xml:space="preserve">che </w:t>
      </w:r>
      <w:r w:rsidR="00F7690A">
        <w:t>ad oggi</w:t>
      </w:r>
      <w:r w:rsidR="004D622C">
        <w:t xml:space="preserve"> </w:t>
      </w:r>
      <w:r w:rsidR="00F7690A">
        <w:t xml:space="preserve">il </w:t>
      </w:r>
      <w:r w:rsidR="004D622C">
        <w:t xml:space="preserve">CIRA </w:t>
      </w:r>
      <w:r w:rsidR="00F7690A">
        <w:t xml:space="preserve">si è aggiudicato prestigiosi </w:t>
      </w:r>
      <w:r w:rsidR="004D622C">
        <w:t xml:space="preserve">premi </w:t>
      </w:r>
      <w:r w:rsidR="00F7690A">
        <w:t>internazionali per la  ricerca</w:t>
      </w:r>
      <w:r w:rsidR="004D622C">
        <w:t xml:space="preserve">, </w:t>
      </w:r>
      <w:r w:rsidR="00F7690A">
        <w:t xml:space="preserve">tra i quali </w:t>
      </w:r>
      <w:r w:rsidR="00A113B9">
        <w:t xml:space="preserve">anche </w:t>
      </w:r>
      <w:r w:rsidR="00F7690A">
        <w:t>l</w:t>
      </w:r>
      <w:r w:rsidR="004D622C">
        <w:t xml:space="preserve">’EDA </w:t>
      </w:r>
      <w:r w:rsidR="00F7690A">
        <w:t xml:space="preserve">Defense Innovation </w:t>
      </w:r>
      <w:proofErr w:type="spellStart"/>
      <w:r w:rsidR="00F7690A">
        <w:t>Prize</w:t>
      </w:r>
      <w:proofErr w:type="spellEnd"/>
      <w:r w:rsidR="00F7690A">
        <w:t xml:space="preserve"> relativo alla ricerca aerospaziale applicata al settore della D</w:t>
      </w:r>
      <w:r w:rsidR="004D622C">
        <w:t>ifesa</w:t>
      </w:r>
      <w:r w:rsidR="00A113B9">
        <w:t>, un campo di non tradizionale ricerca</w:t>
      </w:r>
      <w:r w:rsidR="00B21C98">
        <w:t xml:space="preserve"> del Centro</w:t>
      </w:r>
      <w:r w:rsidR="00A113B9">
        <w:t>, e la</w:t>
      </w:r>
      <w:r w:rsidR="00F7690A">
        <w:t xml:space="preserve"> qualificazione dell</w:t>
      </w:r>
      <w:r w:rsidR="00A113B9">
        <w:t>a qualità dell</w:t>
      </w:r>
      <w:r w:rsidR="00F7690A">
        <w:t xml:space="preserve">’attività di ricerca </w:t>
      </w:r>
      <w:r w:rsidR="00A113B9">
        <w:t xml:space="preserve">del </w:t>
      </w:r>
      <w:r w:rsidR="00F7690A">
        <w:t xml:space="preserve">CIRA si </w:t>
      </w:r>
      <w:r w:rsidR="00A113B9">
        <w:t xml:space="preserve">pregia </w:t>
      </w:r>
      <w:r w:rsidR="00F7690A">
        <w:t xml:space="preserve">oggi anche con una distintiva percentuale di successo nei </w:t>
      </w:r>
      <w:r w:rsidR="00A113B9">
        <w:t>bandi</w:t>
      </w:r>
      <w:r w:rsidR="00F7690A">
        <w:t xml:space="preserve"> internazionali,</w:t>
      </w:r>
      <w:r w:rsidR="004D622C">
        <w:t xml:space="preserve"> superior</w:t>
      </w:r>
      <w:r w:rsidR="00F7690A">
        <w:t>e</w:t>
      </w:r>
      <w:r w:rsidR="004D622C">
        <w:t xml:space="preserve"> alle medie </w:t>
      </w:r>
      <w:r w:rsidR="00F7690A">
        <w:t>europee</w:t>
      </w:r>
      <w:r w:rsidR="00A113B9">
        <w:t xml:space="preserve"> degli omologhi centri</w:t>
      </w:r>
      <w:r w:rsidR="00F7690A">
        <w:t>.</w:t>
      </w:r>
    </w:p>
    <w:p w14:paraId="0C01C774" w14:textId="77777777" w:rsidR="00A113B9" w:rsidRDefault="00A113B9" w:rsidP="00F7690A">
      <w:pPr>
        <w:spacing w:line="276" w:lineRule="auto"/>
        <w:jc w:val="both"/>
      </w:pPr>
    </w:p>
    <w:p w14:paraId="3B4D730D" w14:textId="77777777" w:rsidR="00A113B9" w:rsidRDefault="001C4AB6" w:rsidP="001C4AB6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4AB6">
        <w:rPr>
          <w:rFonts w:ascii="Times New Roman" w:hAnsi="Times New Roman" w:cs="Times New Roman"/>
          <w:sz w:val="24"/>
          <w:szCs w:val="24"/>
        </w:rPr>
        <w:t>In relazione al documento Due Diligence commissionat</w:t>
      </w:r>
      <w:r w:rsidR="00A113B9">
        <w:rPr>
          <w:rFonts w:ascii="Times New Roman" w:hAnsi="Times New Roman" w:cs="Times New Roman"/>
          <w:sz w:val="24"/>
          <w:szCs w:val="24"/>
        </w:rPr>
        <w:t>o</w:t>
      </w:r>
      <w:r w:rsidRPr="001C4AB6">
        <w:rPr>
          <w:rFonts w:ascii="Times New Roman" w:hAnsi="Times New Roman" w:cs="Times New Roman"/>
          <w:sz w:val="24"/>
          <w:szCs w:val="24"/>
        </w:rPr>
        <w:t xml:space="preserve"> alla società Deloitte, sono stati completati e resi disponibili dai legali civilista, penalista e amministrativista i pareri richiesti per decisione del </w:t>
      </w:r>
      <w:proofErr w:type="spellStart"/>
      <w:r w:rsidRPr="001C4AB6">
        <w:rPr>
          <w:rFonts w:ascii="Times New Roman" w:hAnsi="Times New Roman" w:cs="Times New Roman"/>
          <w:sz w:val="24"/>
          <w:szCs w:val="24"/>
        </w:rPr>
        <w:t>CdA</w:t>
      </w:r>
      <w:proofErr w:type="spellEnd"/>
      <w:r w:rsidRPr="001C4AB6">
        <w:rPr>
          <w:rFonts w:ascii="Times New Roman" w:hAnsi="Times New Roman" w:cs="Times New Roman"/>
          <w:sz w:val="24"/>
          <w:szCs w:val="24"/>
        </w:rPr>
        <w:t xml:space="preserve"> e autorizzati dall’Assemblea dei soci</w:t>
      </w:r>
      <w:r w:rsidR="00A113B9">
        <w:rPr>
          <w:rFonts w:ascii="Times New Roman" w:hAnsi="Times New Roman" w:cs="Times New Roman"/>
          <w:sz w:val="24"/>
          <w:szCs w:val="24"/>
        </w:rPr>
        <w:t xml:space="preserve">; questi </w:t>
      </w:r>
      <w:r w:rsidRPr="001C4AB6">
        <w:rPr>
          <w:rFonts w:ascii="Times New Roman" w:hAnsi="Times New Roman" w:cs="Times New Roman"/>
          <w:sz w:val="24"/>
          <w:szCs w:val="24"/>
        </w:rPr>
        <w:t xml:space="preserve">saranno oggetto di rassegna a partire dal </w:t>
      </w:r>
      <w:proofErr w:type="spellStart"/>
      <w:r w:rsidRPr="001C4AB6">
        <w:rPr>
          <w:rFonts w:ascii="Times New Roman" w:hAnsi="Times New Roman" w:cs="Times New Roman"/>
          <w:sz w:val="24"/>
          <w:szCs w:val="24"/>
        </w:rPr>
        <w:t>CdA</w:t>
      </w:r>
      <w:proofErr w:type="spellEnd"/>
      <w:r w:rsidRPr="001C4AB6">
        <w:rPr>
          <w:rFonts w:ascii="Times New Roman" w:hAnsi="Times New Roman" w:cs="Times New Roman"/>
          <w:sz w:val="24"/>
          <w:szCs w:val="24"/>
        </w:rPr>
        <w:t xml:space="preserve"> prossimo venturo</w:t>
      </w:r>
      <w:r w:rsidR="00A113B9">
        <w:rPr>
          <w:rFonts w:ascii="Times New Roman" w:hAnsi="Times New Roman" w:cs="Times New Roman"/>
          <w:sz w:val="24"/>
          <w:szCs w:val="24"/>
        </w:rPr>
        <w:t>,</w:t>
      </w:r>
      <w:r w:rsidRPr="001C4AB6">
        <w:rPr>
          <w:rFonts w:ascii="Times New Roman" w:hAnsi="Times New Roman" w:cs="Times New Roman"/>
          <w:sz w:val="24"/>
          <w:szCs w:val="24"/>
        </w:rPr>
        <w:t xml:space="preserve"> anche al </w:t>
      </w:r>
      <w:r w:rsidRPr="00011AB7">
        <w:rPr>
          <w:rFonts w:ascii="Times New Roman" w:hAnsi="Times New Roman" w:cs="Times New Roman"/>
          <w:sz w:val="24"/>
          <w:szCs w:val="24"/>
        </w:rPr>
        <w:t xml:space="preserve">fine di deliberare in merito alle </w:t>
      </w:r>
      <w:r w:rsidR="00EE3C21" w:rsidRPr="00011AB7">
        <w:rPr>
          <w:rFonts w:ascii="Times New Roman" w:hAnsi="Times New Roman" w:cs="Times New Roman"/>
          <w:sz w:val="24"/>
          <w:szCs w:val="24"/>
        </w:rPr>
        <w:t xml:space="preserve">eventuali </w:t>
      </w:r>
      <w:r w:rsidRPr="00011AB7">
        <w:rPr>
          <w:rFonts w:ascii="Times New Roman" w:hAnsi="Times New Roman" w:cs="Times New Roman"/>
          <w:sz w:val="24"/>
          <w:szCs w:val="24"/>
        </w:rPr>
        <w:t>azioni da intraprendere</w:t>
      </w:r>
      <w:r w:rsidRPr="001C4AB6">
        <w:rPr>
          <w:rFonts w:ascii="Times New Roman" w:hAnsi="Times New Roman" w:cs="Times New Roman"/>
          <w:sz w:val="24"/>
          <w:szCs w:val="24"/>
        </w:rPr>
        <w:t xml:space="preserve"> in vista di un esame dell</w:t>
      </w:r>
      <w:r w:rsidR="00A113B9">
        <w:rPr>
          <w:rFonts w:ascii="Times New Roman" w:hAnsi="Times New Roman" w:cs="Times New Roman"/>
          <w:sz w:val="24"/>
          <w:szCs w:val="24"/>
        </w:rPr>
        <w:t>’</w:t>
      </w:r>
      <w:r w:rsidRPr="001C4AB6">
        <w:rPr>
          <w:rFonts w:ascii="Times New Roman" w:hAnsi="Times New Roman" w:cs="Times New Roman"/>
          <w:sz w:val="24"/>
          <w:szCs w:val="24"/>
        </w:rPr>
        <w:t>intera vicenda in una prossima Assemblea dei Soci</w:t>
      </w:r>
      <w:r w:rsidR="00A113B9">
        <w:rPr>
          <w:rFonts w:ascii="Times New Roman" w:hAnsi="Times New Roman" w:cs="Times New Roman"/>
          <w:sz w:val="24"/>
          <w:szCs w:val="24"/>
        </w:rPr>
        <w:t>.</w:t>
      </w:r>
    </w:p>
    <w:p w14:paraId="25437F42" w14:textId="77777777" w:rsidR="001C4AB6" w:rsidRPr="001C4AB6" w:rsidRDefault="001C4AB6" w:rsidP="001C4AB6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75D009" w14:textId="77777777" w:rsidR="001C4AB6" w:rsidRPr="001C4AB6" w:rsidRDefault="001C4AB6" w:rsidP="001C4AB6">
      <w:pPr>
        <w:pStyle w:val="Paragrafoelenc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4AB6">
        <w:rPr>
          <w:rFonts w:ascii="Times New Roman" w:hAnsi="Times New Roman" w:cs="Times New Roman"/>
          <w:sz w:val="24"/>
          <w:szCs w:val="24"/>
        </w:rPr>
        <w:t>In merito ai supporti consulenziali esterni per assistenza legale, va evidenziato che la quasi totalità dei casi (84% degli importi) riguarda patrocini legal</w:t>
      </w:r>
      <w:r w:rsidR="00A113B9">
        <w:rPr>
          <w:rFonts w:ascii="Times New Roman" w:hAnsi="Times New Roman" w:cs="Times New Roman"/>
          <w:sz w:val="24"/>
          <w:szCs w:val="24"/>
        </w:rPr>
        <w:t>i</w:t>
      </w:r>
      <w:r w:rsidRPr="001C4AB6">
        <w:rPr>
          <w:rFonts w:ascii="Times New Roman" w:hAnsi="Times New Roman" w:cs="Times New Roman"/>
          <w:sz w:val="24"/>
          <w:szCs w:val="24"/>
        </w:rPr>
        <w:t xml:space="preserve"> nell’ambito di procedimenti giudiziali. Al riguardo si </w:t>
      </w:r>
      <w:r w:rsidR="00A113B9">
        <w:rPr>
          <w:rFonts w:ascii="Times New Roman" w:hAnsi="Times New Roman" w:cs="Times New Roman"/>
          <w:sz w:val="24"/>
          <w:szCs w:val="24"/>
        </w:rPr>
        <w:t xml:space="preserve">rappresenta, per dovuta trasparenza - </w:t>
      </w:r>
      <w:r w:rsidRPr="001C4AB6">
        <w:rPr>
          <w:rFonts w:ascii="Times New Roman" w:hAnsi="Times New Roman" w:cs="Times New Roman"/>
          <w:sz w:val="24"/>
          <w:szCs w:val="24"/>
        </w:rPr>
        <w:t>come questi non possano essere esercitati da risorse interne, anche ove in possesso di specifica abilitazione professionale, per effetto della relativa incompatibilità del lavoro subordinato ai sensi della Legge 31/12/2012 n. 247.</w:t>
      </w:r>
    </w:p>
    <w:p w14:paraId="27BAA092" w14:textId="77777777" w:rsidR="00FD48B3" w:rsidRDefault="001C4AB6" w:rsidP="00FD48B3">
      <w:pPr>
        <w:spacing w:line="276" w:lineRule="auto"/>
        <w:jc w:val="both"/>
      </w:pPr>
      <w:r>
        <w:rPr>
          <w:rFonts w:eastAsia="Calibri"/>
        </w:rPr>
        <w:t>Nel costante processo di crescita del C</w:t>
      </w:r>
      <w:r w:rsidR="00A113B9">
        <w:rPr>
          <w:rFonts w:eastAsia="Calibri"/>
        </w:rPr>
        <w:t>IRA</w:t>
      </w:r>
      <w:r>
        <w:rPr>
          <w:rFonts w:eastAsia="Calibri"/>
        </w:rPr>
        <w:t>, i</w:t>
      </w:r>
      <w:r w:rsidR="00FD48B3">
        <w:rPr>
          <w:rFonts w:eastAsia="Calibri"/>
        </w:rPr>
        <w:t xml:space="preserve">l Consiglio di Amministrazione </w:t>
      </w:r>
      <w:r w:rsidR="00FD48B3">
        <w:t xml:space="preserve">sta </w:t>
      </w:r>
      <w:r>
        <w:t>operando</w:t>
      </w:r>
      <w:r w:rsidR="00FD48B3">
        <w:t xml:space="preserve"> con una programmazione </w:t>
      </w:r>
      <w:r>
        <w:t xml:space="preserve">sistematica </w:t>
      </w:r>
      <w:r w:rsidR="00FD48B3">
        <w:t>che mira</w:t>
      </w:r>
      <w:r>
        <w:t>,</w:t>
      </w:r>
      <w:r w:rsidR="00FD48B3">
        <w:t xml:space="preserve"> </w:t>
      </w:r>
      <w:r>
        <w:t xml:space="preserve">in maniera sostenibile, </w:t>
      </w:r>
      <w:r w:rsidR="00FD48B3">
        <w:t xml:space="preserve">alla risoluzione dei </w:t>
      </w:r>
      <w:r>
        <w:t xml:space="preserve">residui </w:t>
      </w:r>
      <w:r w:rsidR="00FD48B3">
        <w:t xml:space="preserve">punti sensibili </w:t>
      </w:r>
      <w:r w:rsidR="00A113B9">
        <w:t xml:space="preserve">oggetto della relazione 2018 della Corte </w:t>
      </w:r>
      <w:r w:rsidR="00FD48B3">
        <w:t xml:space="preserve">entro </w:t>
      </w:r>
      <w:r w:rsidR="00FD48B3">
        <w:rPr>
          <w:rFonts w:eastAsia="Calibri"/>
        </w:rPr>
        <w:t>l’Assemblea di Bilancio 2020</w:t>
      </w:r>
      <w:r w:rsidR="00FD48B3">
        <w:t>.</w:t>
      </w:r>
    </w:p>
    <w:p w14:paraId="276CE675" w14:textId="77777777" w:rsidR="00011AB7" w:rsidRDefault="00011AB7" w:rsidP="001E43D1">
      <w:pPr>
        <w:spacing w:line="276" w:lineRule="auto"/>
        <w:jc w:val="both"/>
      </w:pPr>
    </w:p>
    <w:p w14:paraId="562A0786" w14:textId="77777777" w:rsidR="00991B17" w:rsidRPr="00FA0021" w:rsidRDefault="00991B17" w:rsidP="00FA0021">
      <w:pPr>
        <w:jc w:val="both"/>
        <w:rPr>
          <w:iCs/>
        </w:rPr>
      </w:pPr>
      <w:bookmarkStart w:id="0" w:name="_GoBack"/>
      <w:bookmarkEnd w:id="0"/>
      <w:r w:rsidRPr="005B1909">
        <w:rPr>
          <w:b/>
          <w:i/>
          <w:color w:val="000000"/>
          <w:sz w:val="22"/>
        </w:rPr>
        <w:t>Per maggiori informazioni</w:t>
      </w:r>
      <w:r w:rsidRPr="00FA0021">
        <w:rPr>
          <w:b/>
          <w:i/>
          <w:color w:val="000000"/>
        </w:rPr>
        <w:t>:</w:t>
      </w:r>
      <w:r w:rsidRPr="00FA0021">
        <w:rPr>
          <w:iCs/>
        </w:rPr>
        <w:t xml:space="preserve"> </w:t>
      </w:r>
    </w:p>
    <w:p w14:paraId="256F89EE" w14:textId="77777777" w:rsidR="005D5333" w:rsidRPr="005B1909" w:rsidRDefault="005D5333" w:rsidP="005B1909">
      <w:pPr>
        <w:pStyle w:val="Paragrafoelenco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Cs/>
        </w:rPr>
      </w:pPr>
      <w:r w:rsidRPr="005B1909">
        <w:rPr>
          <w:rFonts w:ascii="Times New Roman" w:hAnsi="Times New Roman" w:cs="Times New Roman"/>
          <w:iCs/>
        </w:rPr>
        <w:t>Roberto Borsa, Direttore Innovazione e Comunicazione</w:t>
      </w:r>
    </w:p>
    <w:p w14:paraId="430B38AB" w14:textId="77777777" w:rsidR="005B1909" w:rsidRPr="005B1909" w:rsidRDefault="005B1909" w:rsidP="005B1909">
      <w:pPr>
        <w:ind w:left="142"/>
        <w:jc w:val="both"/>
        <w:rPr>
          <w:iCs/>
          <w:sz w:val="22"/>
          <w:szCs w:val="22"/>
        </w:rPr>
      </w:pPr>
      <w:r w:rsidRPr="005B1909">
        <w:rPr>
          <w:iCs/>
          <w:sz w:val="22"/>
          <w:szCs w:val="22"/>
        </w:rPr>
        <w:t>389 8983871</w:t>
      </w:r>
    </w:p>
    <w:p w14:paraId="2089BD5B" w14:textId="77777777" w:rsidR="005D5333" w:rsidRPr="005B1909" w:rsidRDefault="00351262" w:rsidP="005B1909">
      <w:pPr>
        <w:ind w:left="142"/>
        <w:jc w:val="both"/>
        <w:rPr>
          <w:iCs/>
          <w:sz w:val="22"/>
          <w:szCs w:val="22"/>
        </w:rPr>
      </w:pPr>
      <w:hyperlink r:id="rId12" w:history="1">
        <w:r w:rsidR="005B1909" w:rsidRPr="005B1909">
          <w:rPr>
            <w:rStyle w:val="Collegamentoipertestuale"/>
            <w:iCs/>
            <w:color w:val="auto"/>
            <w:sz w:val="22"/>
            <w:szCs w:val="22"/>
            <w:u w:val="none"/>
          </w:rPr>
          <w:t>r.borsa@cira.it</w:t>
        </w:r>
      </w:hyperlink>
    </w:p>
    <w:p w14:paraId="5F321F9A" w14:textId="77777777" w:rsidR="005B1909" w:rsidRPr="005B1909" w:rsidRDefault="005B1909" w:rsidP="005B1909">
      <w:pPr>
        <w:ind w:left="142"/>
        <w:jc w:val="both"/>
        <w:rPr>
          <w:iCs/>
          <w:sz w:val="22"/>
          <w:szCs w:val="22"/>
        </w:rPr>
      </w:pPr>
    </w:p>
    <w:p w14:paraId="20F34518" w14:textId="77777777" w:rsidR="00991B17" w:rsidRPr="005B1909" w:rsidRDefault="00991B17" w:rsidP="005B1909">
      <w:pPr>
        <w:pStyle w:val="Paragrafoelenco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Cs/>
        </w:rPr>
      </w:pPr>
      <w:r w:rsidRPr="005B1909">
        <w:rPr>
          <w:rFonts w:ascii="Times New Roman" w:hAnsi="Times New Roman" w:cs="Times New Roman"/>
          <w:iCs/>
        </w:rPr>
        <w:t>Maria</w:t>
      </w:r>
      <w:r w:rsidR="00CB49B7">
        <w:rPr>
          <w:rFonts w:ascii="Times New Roman" w:hAnsi="Times New Roman" w:cs="Times New Roman"/>
          <w:iCs/>
        </w:rPr>
        <w:t xml:space="preserve"> </w:t>
      </w:r>
      <w:r w:rsidRPr="005B1909">
        <w:rPr>
          <w:rFonts w:ascii="Times New Roman" w:hAnsi="Times New Roman" w:cs="Times New Roman"/>
          <w:iCs/>
        </w:rPr>
        <w:t>Pia Amelio</w:t>
      </w:r>
      <w:r w:rsidR="005D5333" w:rsidRPr="005B1909">
        <w:rPr>
          <w:rFonts w:ascii="Times New Roman" w:hAnsi="Times New Roman" w:cs="Times New Roman"/>
          <w:iCs/>
        </w:rPr>
        <w:t>, Comunicazione</w:t>
      </w:r>
    </w:p>
    <w:p w14:paraId="2FAE5DA5" w14:textId="77777777" w:rsidR="00991B17" w:rsidRPr="005B1909" w:rsidRDefault="00ED7AC6" w:rsidP="005B1909">
      <w:pPr>
        <w:ind w:left="142"/>
        <w:jc w:val="both"/>
        <w:rPr>
          <w:iCs/>
          <w:sz w:val="22"/>
          <w:szCs w:val="22"/>
        </w:rPr>
      </w:pPr>
      <w:r w:rsidRPr="005B1909">
        <w:rPr>
          <w:iCs/>
          <w:sz w:val="22"/>
          <w:szCs w:val="22"/>
        </w:rPr>
        <w:t>340 5054930</w:t>
      </w:r>
    </w:p>
    <w:p w14:paraId="4F4B580F" w14:textId="77777777" w:rsidR="005B1909" w:rsidRDefault="00351262" w:rsidP="005B1909">
      <w:pPr>
        <w:ind w:left="142"/>
        <w:jc w:val="both"/>
        <w:rPr>
          <w:rStyle w:val="Collegamentoipertestuale"/>
          <w:color w:val="auto"/>
          <w:sz w:val="22"/>
          <w:szCs w:val="22"/>
          <w:u w:val="none"/>
        </w:rPr>
      </w:pPr>
      <w:hyperlink r:id="rId13" w:history="1">
        <w:r w:rsidR="00991B17" w:rsidRPr="005B1909">
          <w:rPr>
            <w:rStyle w:val="Collegamentoipertestuale"/>
            <w:color w:val="auto"/>
            <w:sz w:val="22"/>
            <w:szCs w:val="22"/>
            <w:u w:val="none"/>
          </w:rPr>
          <w:t>m.amelio@cira.it</w:t>
        </w:r>
      </w:hyperlink>
    </w:p>
    <w:p w14:paraId="187E1E7A" w14:textId="77777777" w:rsidR="005B1909" w:rsidRPr="005B1909" w:rsidRDefault="005B1909" w:rsidP="005B1909">
      <w:pPr>
        <w:ind w:left="142"/>
        <w:jc w:val="both"/>
        <w:rPr>
          <w:rStyle w:val="Collegamentoipertestuale"/>
          <w:color w:val="auto"/>
          <w:sz w:val="22"/>
          <w:szCs w:val="22"/>
          <w:u w:val="none"/>
        </w:rPr>
      </w:pPr>
    </w:p>
    <w:p w14:paraId="3963FECB" w14:textId="77777777" w:rsidR="00991B17" w:rsidRPr="00FA0021" w:rsidRDefault="00351262" w:rsidP="005B1909">
      <w:pPr>
        <w:ind w:left="142"/>
        <w:jc w:val="both"/>
      </w:pPr>
      <w:hyperlink r:id="rId14" w:history="1">
        <w:r w:rsidR="00991B17" w:rsidRPr="00FA0021">
          <w:rPr>
            <w:rStyle w:val="Collegamentoipertestuale"/>
            <w:iCs/>
          </w:rPr>
          <w:t>www.cira.it</w:t>
        </w:r>
      </w:hyperlink>
    </w:p>
    <w:sectPr w:rsidR="00991B17" w:rsidRPr="00FA0021" w:rsidSect="00015348"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08F29" w14:textId="77777777" w:rsidR="00CB41D7" w:rsidRDefault="00CB41D7" w:rsidP="00015348">
      <w:r>
        <w:separator/>
      </w:r>
    </w:p>
  </w:endnote>
  <w:endnote w:type="continuationSeparator" w:id="0">
    <w:p w14:paraId="6F62B256" w14:textId="77777777" w:rsidR="00CB41D7" w:rsidRDefault="00CB41D7" w:rsidP="0001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ED28A" w14:textId="77777777" w:rsidR="00CB41D7" w:rsidRDefault="00CB41D7" w:rsidP="00015348">
      <w:r>
        <w:separator/>
      </w:r>
    </w:p>
  </w:footnote>
  <w:footnote w:type="continuationSeparator" w:id="0">
    <w:p w14:paraId="6C8496D4" w14:textId="77777777" w:rsidR="00CB41D7" w:rsidRDefault="00CB41D7" w:rsidP="0001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4137"/>
    <w:multiLevelType w:val="hybridMultilevel"/>
    <w:tmpl w:val="4DAE92C6"/>
    <w:lvl w:ilvl="0" w:tplc="C43837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6ABB"/>
    <w:multiLevelType w:val="multilevel"/>
    <w:tmpl w:val="A936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B3FB1"/>
    <w:multiLevelType w:val="hybridMultilevel"/>
    <w:tmpl w:val="4530C428"/>
    <w:lvl w:ilvl="0" w:tplc="E5C09772">
      <w:start w:val="1"/>
      <w:numFmt w:val="bullet"/>
      <w:lvlText w:val=""/>
      <w:lvlJc w:val="left"/>
      <w:pPr>
        <w:ind w:left="140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9B80ED3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E7462C46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3" w:tplc="C340128E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4" w:tplc="18B071BE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5" w:tplc="1F624BB6">
      <w:start w:val="1"/>
      <w:numFmt w:val="bullet"/>
      <w:lvlText w:val="•"/>
      <w:lvlJc w:val="left"/>
      <w:pPr>
        <w:ind w:left="6111" w:hanging="360"/>
      </w:pPr>
      <w:rPr>
        <w:rFonts w:hint="default"/>
      </w:rPr>
    </w:lvl>
    <w:lvl w:ilvl="6" w:tplc="0C240904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7" w:tplc="1C647A5E">
      <w:start w:val="1"/>
      <w:numFmt w:val="bullet"/>
      <w:lvlText w:val="•"/>
      <w:lvlJc w:val="left"/>
      <w:pPr>
        <w:ind w:left="7994" w:hanging="360"/>
      </w:pPr>
      <w:rPr>
        <w:rFonts w:hint="default"/>
      </w:rPr>
    </w:lvl>
    <w:lvl w:ilvl="8" w:tplc="02D4CD5C">
      <w:start w:val="1"/>
      <w:numFmt w:val="bullet"/>
      <w:lvlText w:val="•"/>
      <w:lvlJc w:val="left"/>
      <w:pPr>
        <w:ind w:left="8936" w:hanging="360"/>
      </w:pPr>
      <w:rPr>
        <w:rFonts w:hint="default"/>
      </w:rPr>
    </w:lvl>
  </w:abstractNum>
  <w:abstractNum w:abstractNumId="3" w15:restartNumberingAfterBreak="0">
    <w:nsid w:val="20673DCC"/>
    <w:multiLevelType w:val="hybridMultilevel"/>
    <w:tmpl w:val="EBF4A8A8"/>
    <w:lvl w:ilvl="0" w:tplc="A95827E8">
      <w:start w:val="1"/>
      <w:numFmt w:val="decimal"/>
      <w:lvlText w:val="%1)"/>
      <w:lvlJc w:val="left"/>
      <w:pPr>
        <w:ind w:left="1402" w:hanging="360"/>
      </w:pPr>
      <w:rPr>
        <w:rFonts w:ascii="Cambria" w:eastAsia="Cambria" w:hAnsi="Cambria" w:hint="default"/>
        <w:w w:val="99"/>
        <w:sz w:val="24"/>
        <w:szCs w:val="24"/>
      </w:rPr>
    </w:lvl>
    <w:lvl w:ilvl="1" w:tplc="45E4989C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FECECE5A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3" w:tplc="DCF8CFD6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4" w:tplc="033EA30E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5" w:tplc="BC269EC0">
      <w:start w:val="1"/>
      <w:numFmt w:val="bullet"/>
      <w:lvlText w:val="•"/>
      <w:lvlJc w:val="left"/>
      <w:pPr>
        <w:ind w:left="6111" w:hanging="360"/>
      </w:pPr>
      <w:rPr>
        <w:rFonts w:hint="default"/>
      </w:rPr>
    </w:lvl>
    <w:lvl w:ilvl="6" w:tplc="B2BE98E4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7" w:tplc="C6CADD1E">
      <w:start w:val="1"/>
      <w:numFmt w:val="bullet"/>
      <w:lvlText w:val="•"/>
      <w:lvlJc w:val="left"/>
      <w:pPr>
        <w:ind w:left="7994" w:hanging="360"/>
      </w:pPr>
      <w:rPr>
        <w:rFonts w:hint="default"/>
      </w:rPr>
    </w:lvl>
    <w:lvl w:ilvl="8" w:tplc="7474F51E">
      <w:start w:val="1"/>
      <w:numFmt w:val="bullet"/>
      <w:lvlText w:val="•"/>
      <w:lvlJc w:val="left"/>
      <w:pPr>
        <w:ind w:left="8936" w:hanging="360"/>
      </w:pPr>
      <w:rPr>
        <w:rFonts w:hint="default"/>
      </w:rPr>
    </w:lvl>
  </w:abstractNum>
  <w:abstractNum w:abstractNumId="4" w15:restartNumberingAfterBreak="0">
    <w:nsid w:val="253346F6"/>
    <w:multiLevelType w:val="hybridMultilevel"/>
    <w:tmpl w:val="271A6D38"/>
    <w:lvl w:ilvl="0" w:tplc="60F0368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F7C2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C60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F3495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FFA9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38D5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8CA86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3A6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9689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26816669"/>
    <w:multiLevelType w:val="hybridMultilevel"/>
    <w:tmpl w:val="142C3D94"/>
    <w:lvl w:ilvl="0" w:tplc="CF38186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C752E"/>
    <w:multiLevelType w:val="multilevel"/>
    <w:tmpl w:val="50F0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617B2"/>
    <w:multiLevelType w:val="hybridMultilevel"/>
    <w:tmpl w:val="8CC27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1D9C"/>
    <w:multiLevelType w:val="hybridMultilevel"/>
    <w:tmpl w:val="1CEE3256"/>
    <w:lvl w:ilvl="0" w:tplc="9080E9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C417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CCF9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D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6B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E52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85C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4D8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8F1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977F0"/>
    <w:multiLevelType w:val="hybridMultilevel"/>
    <w:tmpl w:val="F55C8542"/>
    <w:lvl w:ilvl="0" w:tplc="223CDA7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33C68"/>
    <w:multiLevelType w:val="hybridMultilevel"/>
    <w:tmpl w:val="3FB67F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C7587"/>
    <w:multiLevelType w:val="hybridMultilevel"/>
    <w:tmpl w:val="6CB6F1F2"/>
    <w:lvl w:ilvl="0" w:tplc="60B45A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4B"/>
    <w:rsid w:val="00011AB7"/>
    <w:rsid w:val="00015348"/>
    <w:rsid w:val="00015C25"/>
    <w:rsid w:val="0004356D"/>
    <w:rsid w:val="00061ABB"/>
    <w:rsid w:val="00066BB2"/>
    <w:rsid w:val="00076FD0"/>
    <w:rsid w:val="0008235F"/>
    <w:rsid w:val="00094994"/>
    <w:rsid w:val="000A7209"/>
    <w:rsid w:val="000B4D87"/>
    <w:rsid w:val="000D618E"/>
    <w:rsid w:val="000E278E"/>
    <w:rsid w:val="000E2E35"/>
    <w:rsid w:val="000F0063"/>
    <w:rsid w:val="000F0ED3"/>
    <w:rsid w:val="000F5722"/>
    <w:rsid w:val="00104D04"/>
    <w:rsid w:val="0013104D"/>
    <w:rsid w:val="00135D60"/>
    <w:rsid w:val="00162199"/>
    <w:rsid w:val="00173735"/>
    <w:rsid w:val="001962AB"/>
    <w:rsid w:val="001B372B"/>
    <w:rsid w:val="001C4AB6"/>
    <w:rsid w:val="001E093B"/>
    <w:rsid w:val="001E43D1"/>
    <w:rsid w:val="001F23F8"/>
    <w:rsid w:val="00206329"/>
    <w:rsid w:val="0021066A"/>
    <w:rsid w:val="00214779"/>
    <w:rsid w:val="00221B24"/>
    <w:rsid w:val="002633EC"/>
    <w:rsid w:val="00297A50"/>
    <w:rsid w:val="002A6FCD"/>
    <w:rsid w:val="002A737E"/>
    <w:rsid w:val="002B0244"/>
    <w:rsid w:val="002B1FDD"/>
    <w:rsid w:val="002B7A09"/>
    <w:rsid w:val="002C2E6D"/>
    <w:rsid w:val="002D48D9"/>
    <w:rsid w:val="002E0F03"/>
    <w:rsid w:val="002E65E7"/>
    <w:rsid w:val="002F6413"/>
    <w:rsid w:val="002F6CAA"/>
    <w:rsid w:val="00302BED"/>
    <w:rsid w:val="00337217"/>
    <w:rsid w:val="00345E5A"/>
    <w:rsid w:val="00351262"/>
    <w:rsid w:val="003573A2"/>
    <w:rsid w:val="003614B7"/>
    <w:rsid w:val="00381687"/>
    <w:rsid w:val="00382C16"/>
    <w:rsid w:val="0039311B"/>
    <w:rsid w:val="0039683D"/>
    <w:rsid w:val="003A4F79"/>
    <w:rsid w:val="003C2E07"/>
    <w:rsid w:val="003D584B"/>
    <w:rsid w:val="003E0979"/>
    <w:rsid w:val="003F0912"/>
    <w:rsid w:val="003F151C"/>
    <w:rsid w:val="003F2F08"/>
    <w:rsid w:val="003F36DF"/>
    <w:rsid w:val="003F6B0D"/>
    <w:rsid w:val="004023D9"/>
    <w:rsid w:val="00406BEE"/>
    <w:rsid w:val="00414137"/>
    <w:rsid w:val="0041484B"/>
    <w:rsid w:val="00414F96"/>
    <w:rsid w:val="00416BF4"/>
    <w:rsid w:val="00424C2C"/>
    <w:rsid w:val="004426A8"/>
    <w:rsid w:val="00445243"/>
    <w:rsid w:val="00460B96"/>
    <w:rsid w:val="004713B6"/>
    <w:rsid w:val="004718D0"/>
    <w:rsid w:val="00490B82"/>
    <w:rsid w:val="004A2E33"/>
    <w:rsid w:val="004B3C25"/>
    <w:rsid w:val="004D61D1"/>
    <w:rsid w:val="004D622C"/>
    <w:rsid w:val="004E11F7"/>
    <w:rsid w:val="004F191D"/>
    <w:rsid w:val="004F2E6E"/>
    <w:rsid w:val="004F3103"/>
    <w:rsid w:val="004F6508"/>
    <w:rsid w:val="00500FBF"/>
    <w:rsid w:val="00504900"/>
    <w:rsid w:val="00506778"/>
    <w:rsid w:val="00514662"/>
    <w:rsid w:val="00514DEA"/>
    <w:rsid w:val="005344B4"/>
    <w:rsid w:val="005546D5"/>
    <w:rsid w:val="0055654E"/>
    <w:rsid w:val="005606C0"/>
    <w:rsid w:val="0058079F"/>
    <w:rsid w:val="005836DB"/>
    <w:rsid w:val="005859B0"/>
    <w:rsid w:val="0059379E"/>
    <w:rsid w:val="005A2A67"/>
    <w:rsid w:val="005B1909"/>
    <w:rsid w:val="005B5C22"/>
    <w:rsid w:val="005C2C53"/>
    <w:rsid w:val="005D3F72"/>
    <w:rsid w:val="005D5333"/>
    <w:rsid w:val="005E36EB"/>
    <w:rsid w:val="0062070B"/>
    <w:rsid w:val="00632F1C"/>
    <w:rsid w:val="006424C2"/>
    <w:rsid w:val="00646B29"/>
    <w:rsid w:val="00652AA4"/>
    <w:rsid w:val="00652FAD"/>
    <w:rsid w:val="00671C3D"/>
    <w:rsid w:val="006752EB"/>
    <w:rsid w:val="006778F3"/>
    <w:rsid w:val="00680FEC"/>
    <w:rsid w:val="00681BD7"/>
    <w:rsid w:val="00685700"/>
    <w:rsid w:val="00695FED"/>
    <w:rsid w:val="006B11C2"/>
    <w:rsid w:val="006C0F19"/>
    <w:rsid w:val="006E1207"/>
    <w:rsid w:val="006E138D"/>
    <w:rsid w:val="006E21FA"/>
    <w:rsid w:val="006E6FF8"/>
    <w:rsid w:val="006F0983"/>
    <w:rsid w:val="006F35AE"/>
    <w:rsid w:val="00701B69"/>
    <w:rsid w:val="00710CC2"/>
    <w:rsid w:val="00724D5C"/>
    <w:rsid w:val="00732CCF"/>
    <w:rsid w:val="00737DBF"/>
    <w:rsid w:val="007421C6"/>
    <w:rsid w:val="00746B95"/>
    <w:rsid w:val="00751BD8"/>
    <w:rsid w:val="00755A95"/>
    <w:rsid w:val="00762AF7"/>
    <w:rsid w:val="00763653"/>
    <w:rsid w:val="007776B0"/>
    <w:rsid w:val="007967D8"/>
    <w:rsid w:val="007B7782"/>
    <w:rsid w:val="007D1DB8"/>
    <w:rsid w:val="007D2F10"/>
    <w:rsid w:val="007E08CE"/>
    <w:rsid w:val="007E30BE"/>
    <w:rsid w:val="00816A55"/>
    <w:rsid w:val="00817201"/>
    <w:rsid w:val="0082729D"/>
    <w:rsid w:val="00827801"/>
    <w:rsid w:val="0083220C"/>
    <w:rsid w:val="00843996"/>
    <w:rsid w:val="00850971"/>
    <w:rsid w:val="00873538"/>
    <w:rsid w:val="0088051D"/>
    <w:rsid w:val="008A6E77"/>
    <w:rsid w:val="008A7FBA"/>
    <w:rsid w:val="008C16F6"/>
    <w:rsid w:val="008D535C"/>
    <w:rsid w:val="008E0D4C"/>
    <w:rsid w:val="008E5D59"/>
    <w:rsid w:val="008E6985"/>
    <w:rsid w:val="008E7CA4"/>
    <w:rsid w:val="00901253"/>
    <w:rsid w:val="009228E6"/>
    <w:rsid w:val="00930F09"/>
    <w:rsid w:val="009468A4"/>
    <w:rsid w:val="00953427"/>
    <w:rsid w:val="00965A71"/>
    <w:rsid w:val="00966E4C"/>
    <w:rsid w:val="00991B17"/>
    <w:rsid w:val="0099385F"/>
    <w:rsid w:val="00996E6D"/>
    <w:rsid w:val="00997B07"/>
    <w:rsid w:val="009A0FC1"/>
    <w:rsid w:val="009A2C25"/>
    <w:rsid w:val="009B11C3"/>
    <w:rsid w:val="009B79F7"/>
    <w:rsid w:val="009C18E9"/>
    <w:rsid w:val="009E35AC"/>
    <w:rsid w:val="009F2A98"/>
    <w:rsid w:val="009F3AC9"/>
    <w:rsid w:val="009F6DA3"/>
    <w:rsid w:val="00A113B9"/>
    <w:rsid w:val="00A15D5B"/>
    <w:rsid w:val="00A20EE3"/>
    <w:rsid w:val="00A34701"/>
    <w:rsid w:val="00A35C35"/>
    <w:rsid w:val="00A7437A"/>
    <w:rsid w:val="00A802A9"/>
    <w:rsid w:val="00A832FC"/>
    <w:rsid w:val="00A906B4"/>
    <w:rsid w:val="00A91C99"/>
    <w:rsid w:val="00A926B3"/>
    <w:rsid w:val="00AC17B8"/>
    <w:rsid w:val="00AC72C2"/>
    <w:rsid w:val="00AD1F11"/>
    <w:rsid w:val="00AD5BCF"/>
    <w:rsid w:val="00AE05E5"/>
    <w:rsid w:val="00AE2113"/>
    <w:rsid w:val="00AE78DE"/>
    <w:rsid w:val="00AF63BD"/>
    <w:rsid w:val="00B11890"/>
    <w:rsid w:val="00B178D7"/>
    <w:rsid w:val="00B21C98"/>
    <w:rsid w:val="00B257F3"/>
    <w:rsid w:val="00B2793D"/>
    <w:rsid w:val="00B30E51"/>
    <w:rsid w:val="00B31C26"/>
    <w:rsid w:val="00B5483F"/>
    <w:rsid w:val="00B81956"/>
    <w:rsid w:val="00B85992"/>
    <w:rsid w:val="00B93D93"/>
    <w:rsid w:val="00B946E2"/>
    <w:rsid w:val="00B95559"/>
    <w:rsid w:val="00BA4221"/>
    <w:rsid w:val="00BB790D"/>
    <w:rsid w:val="00BC6CC5"/>
    <w:rsid w:val="00BD4599"/>
    <w:rsid w:val="00BE0240"/>
    <w:rsid w:val="00BE0269"/>
    <w:rsid w:val="00BE6316"/>
    <w:rsid w:val="00BE7FF8"/>
    <w:rsid w:val="00BF09E5"/>
    <w:rsid w:val="00BF348A"/>
    <w:rsid w:val="00C055C9"/>
    <w:rsid w:val="00C14163"/>
    <w:rsid w:val="00C239E4"/>
    <w:rsid w:val="00C30BCA"/>
    <w:rsid w:val="00C82B9D"/>
    <w:rsid w:val="00C86680"/>
    <w:rsid w:val="00C86909"/>
    <w:rsid w:val="00C9048E"/>
    <w:rsid w:val="00CA044F"/>
    <w:rsid w:val="00CA5276"/>
    <w:rsid w:val="00CB3AFC"/>
    <w:rsid w:val="00CB41D7"/>
    <w:rsid w:val="00CB49B7"/>
    <w:rsid w:val="00CC74EB"/>
    <w:rsid w:val="00CD160A"/>
    <w:rsid w:val="00CD642C"/>
    <w:rsid w:val="00CE028C"/>
    <w:rsid w:val="00CE2399"/>
    <w:rsid w:val="00CF3DFA"/>
    <w:rsid w:val="00D04AD6"/>
    <w:rsid w:val="00D12724"/>
    <w:rsid w:val="00D21270"/>
    <w:rsid w:val="00D22391"/>
    <w:rsid w:val="00D25C70"/>
    <w:rsid w:val="00D336F4"/>
    <w:rsid w:val="00D66D2B"/>
    <w:rsid w:val="00D8514A"/>
    <w:rsid w:val="00D9235B"/>
    <w:rsid w:val="00DA4C61"/>
    <w:rsid w:val="00DC3155"/>
    <w:rsid w:val="00DC4B8E"/>
    <w:rsid w:val="00DD0DCD"/>
    <w:rsid w:val="00DD11C1"/>
    <w:rsid w:val="00DF143E"/>
    <w:rsid w:val="00DF1D67"/>
    <w:rsid w:val="00DF2F9C"/>
    <w:rsid w:val="00E02726"/>
    <w:rsid w:val="00E12E1F"/>
    <w:rsid w:val="00E43C0A"/>
    <w:rsid w:val="00E64E55"/>
    <w:rsid w:val="00E67B64"/>
    <w:rsid w:val="00E700C7"/>
    <w:rsid w:val="00E77940"/>
    <w:rsid w:val="00EC0414"/>
    <w:rsid w:val="00EC431F"/>
    <w:rsid w:val="00EC5982"/>
    <w:rsid w:val="00ED7AC6"/>
    <w:rsid w:val="00EE3C21"/>
    <w:rsid w:val="00EF271D"/>
    <w:rsid w:val="00EF3BF3"/>
    <w:rsid w:val="00F04404"/>
    <w:rsid w:val="00F10E8B"/>
    <w:rsid w:val="00F17898"/>
    <w:rsid w:val="00F33225"/>
    <w:rsid w:val="00F66D4D"/>
    <w:rsid w:val="00F7690A"/>
    <w:rsid w:val="00FA0021"/>
    <w:rsid w:val="00FA3CFF"/>
    <w:rsid w:val="00FB07E1"/>
    <w:rsid w:val="00FB3D2A"/>
    <w:rsid w:val="00FC6EF0"/>
    <w:rsid w:val="00FC7692"/>
    <w:rsid w:val="00FD2F96"/>
    <w:rsid w:val="00FD363B"/>
    <w:rsid w:val="00FD48B3"/>
    <w:rsid w:val="00FE008A"/>
    <w:rsid w:val="00FE3BD7"/>
    <w:rsid w:val="00FF324D"/>
    <w:rsid w:val="00FF45A5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1C9B"/>
  <w15:chartTrackingRefBased/>
  <w15:docId w15:val="{A7D91B79-CAB5-4284-B88C-0108C7F4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584B"/>
    <w:pPr>
      <w:spacing w:before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1B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E3BD7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B1FDD"/>
    <w:pPr>
      <w:spacing w:before="100" w:beforeAutospacing="1" w:after="100" w:afterAutospacing="1"/>
    </w:pPr>
    <w:rPr>
      <w:rFonts w:eastAsia="Times New Roman"/>
    </w:rPr>
  </w:style>
  <w:style w:type="paragraph" w:styleId="Corpotesto">
    <w:name w:val="Body Text"/>
    <w:basedOn w:val="Normale"/>
    <w:link w:val="CorpotestoCarattere"/>
    <w:uiPriority w:val="1"/>
    <w:qFormat/>
    <w:rsid w:val="00E77940"/>
    <w:pPr>
      <w:widowControl w:val="0"/>
      <w:ind w:left="1042"/>
    </w:pPr>
    <w:rPr>
      <w:rFonts w:ascii="Cambria" w:eastAsia="Cambria" w:hAnsi="Cambria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7940"/>
    <w:rPr>
      <w:rFonts w:ascii="Cambria" w:eastAsia="Cambria" w:hAnsi="Cambria"/>
      <w:sz w:val="24"/>
      <w:szCs w:val="24"/>
      <w:lang w:val="en-US"/>
    </w:rPr>
  </w:style>
  <w:style w:type="paragraph" w:customStyle="1" w:styleId="Default">
    <w:name w:val="Default"/>
    <w:rsid w:val="00504900"/>
    <w:pPr>
      <w:autoSpaceDE w:val="0"/>
      <w:autoSpaceDN w:val="0"/>
      <w:adjustRightInd w:val="0"/>
      <w:spacing w:before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190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153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4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53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348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2CCF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2CCF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8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801"/>
    <w:rPr>
      <w:rFonts w:ascii="Segoe UI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421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21C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21C6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21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21C6"/>
    <w:rPr>
      <w:rFonts w:ascii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67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2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74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80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16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13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7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7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09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0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6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4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amelio@cir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.borsa@cir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i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Copy xmlns="141e550d-053c-4ab8-85de-d75d5abd7e2a">/it/Comunicati/Comunicato Stampa CIRA_In merito alla relazione della Corte dei Conti def.docx</NameCopy>
    <ShortDescription xmlns="141e550d-053c-4ab8-85de-d75d5abd7e2a">Gli esercizi 2019 e 2020 sono stati occasione per affrontare tutti i punti sensibili posti in evidenza dalla relazione della Corte dei Conti sul 2018; ad oggi diversi di essi sono già giunti a risoluzione, altri tuttora in via di risoluzione e/o evoluzione al variare del contesto di riferimento.</ShortDescription>
    <DataDocumento xmlns="141e550d-053c-4ab8-85de-d75d5abd7e2a">2021-01-27T23:00:00+00:00</DataDocumen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56A30-8C0A-41D1-B98C-3765ABC1CD52}"/>
</file>

<file path=customXml/itemProps2.xml><?xml version="1.0" encoding="utf-8"?>
<ds:datastoreItem xmlns:ds="http://schemas.openxmlformats.org/officeDocument/2006/customXml" ds:itemID="{58A9213E-4F43-410E-88C7-3C4B092C1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98932-3EA6-48AB-94F9-2B24F1A10C8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04f307b9-a7a6-46a1-b058-6a05536458f4"/>
    <ds:schemaRef ds:uri="http://purl.org/dc/elements/1.1/"/>
    <ds:schemaRef ds:uri="fe93e1b3-fdca-4a7b-99fd-f2ab762c395b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8620641-B451-4B90-9C4F-669DCB12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Recepimento della Relazione 2018 della Corte dei Conti  e relative prime considerazioni del Centro</dc:title>
  <dc:subject/>
  <dc:creator>Amelio MariaPia</dc:creator>
  <cp:keywords/>
  <dc:description/>
  <cp:lastModifiedBy>Amelio MariaPia</cp:lastModifiedBy>
  <cp:revision>3</cp:revision>
  <cp:lastPrinted>2017-11-29T14:29:00Z</cp:lastPrinted>
  <dcterms:created xsi:type="dcterms:W3CDTF">2021-01-28T15:03:00Z</dcterms:created>
  <dcterms:modified xsi:type="dcterms:W3CDTF">2021-02-24T16:48:00Z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226e0389-0483-42e5-ad99-b47b9c04ba84,2;226e0389-0483-42e5-ad99-b47b9c04ba84,4;226e0389-0483-42e5-ad99-b47b9c04ba84,6;</vt:lpwstr>
  </property>
</Properties>
</file>